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09"/>
      </w:tblGrid>
      <w:tr w:rsidR="00DA4AA4" w:rsidRPr="00DA4AA4" w:rsidTr="00DA4AA4">
        <w:trPr>
          <w:tblCellSpacing w:w="15" w:type="dxa"/>
          <w:jc w:val="center"/>
        </w:trPr>
        <w:tc>
          <w:tcPr>
            <w:tcW w:w="0" w:type="auto"/>
            <w:vAlign w:val="center"/>
            <w:hideMark/>
          </w:tcPr>
          <w:p w:rsidR="00DA4AA4" w:rsidRPr="00DA4AA4" w:rsidRDefault="00DA4AA4" w:rsidP="00DA4AA4">
            <w:pPr>
              <w:widowControl/>
              <w:wordWrap w:val="0"/>
              <w:jc w:val="center"/>
              <w:rPr>
                <w:rFonts w:ascii="楷体" w:eastAsia="楷体" w:hAnsi="楷体" w:cs="宋体"/>
                <w:kern w:val="0"/>
                <w:sz w:val="24"/>
                <w:szCs w:val="24"/>
              </w:rPr>
            </w:pPr>
            <w:r>
              <w:rPr>
                <w:rFonts w:ascii="楷体" w:eastAsia="楷体" w:hAnsi="楷体" w:cs="宋体"/>
                <w:noProof/>
                <w:kern w:val="0"/>
                <w:sz w:val="24"/>
                <w:szCs w:val="24"/>
              </w:rPr>
              <w:drawing>
                <wp:inline distT="0" distB="0" distL="0" distR="0">
                  <wp:extent cx="3817620" cy="571500"/>
                  <wp:effectExtent l="0" t="0" r="0" b="0"/>
                  <wp:docPr id="1" name="图片 1" descr="http://zwgk.gd.gov.cn/006939748/201305/W020130510372222348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wgk.gd.gov.cn/006939748/201305/W0201305103722223483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7620" cy="571500"/>
                          </a:xfrm>
                          <a:prstGeom prst="rect">
                            <a:avLst/>
                          </a:prstGeom>
                          <a:noFill/>
                          <a:ln>
                            <a:noFill/>
                          </a:ln>
                        </pic:spPr>
                      </pic:pic>
                    </a:graphicData>
                  </a:graphic>
                </wp:inline>
              </w:drawing>
            </w:r>
          </w:p>
        </w:tc>
      </w:tr>
      <w:tr w:rsidR="00DA4AA4" w:rsidRPr="00DA4AA4" w:rsidTr="00DA4AA4">
        <w:trPr>
          <w:tblCellSpacing w:w="15" w:type="dxa"/>
          <w:jc w:val="center"/>
        </w:trPr>
        <w:tc>
          <w:tcPr>
            <w:tcW w:w="0" w:type="auto"/>
            <w:vAlign w:val="center"/>
            <w:hideMark/>
          </w:tcPr>
          <w:p w:rsidR="00DA4AA4" w:rsidRPr="00DA4AA4" w:rsidRDefault="00DA4AA4" w:rsidP="00DA4AA4">
            <w:pPr>
              <w:widowControl/>
              <w:wordWrap w:val="0"/>
              <w:jc w:val="center"/>
              <w:rPr>
                <w:rFonts w:ascii="楷体" w:eastAsia="楷体" w:hAnsi="楷体" w:cs="宋体"/>
                <w:kern w:val="0"/>
                <w:sz w:val="24"/>
                <w:szCs w:val="24"/>
              </w:rPr>
            </w:pPr>
            <w:r w:rsidRPr="00DA4AA4">
              <w:rPr>
                <w:rFonts w:ascii="楷体" w:eastAsia="楷体" w:hAnsi="楷体" w:cs="宋体" w:hint="eastAsia"/>
                <w:kern w:val="0"/>
                <w:sz w:val="27"/>
                <w:szCs w:val="27"/>
              </w:rPr>
              <w:t>粤府办〔2013〕20号</w:t>
            </w:r>
          </w:p>
        </w:tc>
      </w:tr>
      <w:tr w:rsidR="00DA4AA4" w:rsidRPr="00DA4AA4" w:rsidTr="00DA4AA4">
        <w:trPr>
          <w:tblCellSpacing w:w="15" w:type="dxa"/>
          <w:jc w:val="center"/>
        </w:trPr>
        <w:tc>
          <w:tcPr>
            <w:tcW w:w="0" w:type="auto"/>
            <w:vAlign w:val="center"/>
            <w:hideMark/>
          </w:tcPr>
          <w:p w:rsidR="00DA4AA4" w:rsidRPr="00DA4AA4" w:rsidRDefault="00DA4AA4" w:rsidP="00DA4AA4">
            <w:pPr>
              <w:widowControl/>
              <w:wordWrap w:val="0"/>
              <w:spacing w:before="100" w:beforeAutospacing="1" w:after="100" w:afterAutospacing="1"/>
              <w:jc w:val="center"/>
              <w:outlineLvl w:val="2"/>
              <w:rPr>
                <w:rFonts w:ascii="楷体" w:eastAsia="楷体" w:hAnsi="楷体" w:cs="宋体"/>
                <w:b/>
                <w:bCs/>
                <w:color w:val="FF0000"/>
                <w:kern w:val="0"/>
                <w:sz w:val="27"/>
                <w:szCs w:val="27"/>
              </w:rPr>
            </w:pPr>
            <w:r w:rsidRPr="00DA4AA4">
              <w:rPr>
                <w:rFonts w:ascii="楷体" w:eastAsia="楷体" w:hAnsi="楷体" w:cs="宋体" w:hint="eastAsia"/>
                <w:b/>
                <w:bCs/>
                <w:color w:val="FF0000"/>
                <w:kern w:val="0"/>
                <w:sz w:val="27"/>
                <w:szCs w:val="27"/>
              </w:rPr>
              <w:t>━━━━━━━━━━━━━━━━━━━━━━━━━━━</w:t>
            </w:r>
          </w:p>
        </w:tc>
      </w:tr>
    </w:tbl>
    <w:p w:rsidR="00DA4AA4" w:rsidRPr="00DA4AA4" w:rsidRDefault="00DA4AA4" w:rsidP="00DA4AA4">
      <w:pPr>
        <w:widowControl/>
        <w:jc w:val="center"/>
        <w:rPr>
          <w:rFonts w:ascii="宋体" w:eastAsia="宋体" w:hAnsi="宋体" w:cs="宋体"/>
          <w:kern w:val="0"/>
          <w:sz w:val="24"/>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445"/>
      </w:tblGrid>
      <w:tr w:rsidR="00DA4AA4" w:rsidRPr="00DA4AA4" w:rsidTr="00DA4AA4">
        <w:trPr>
          <w:tblCellSpacing w:w="15" w:type="dxa"/>
          <w:jc w:val="center"/>
        </w:trPr>
        <w:tc>
          <w:tcPr>
            <w:tcW w:w="0" w:type="auto"/>
            <w:vAlign w:val="center"/>
            <w:hideMark/>
          </w:tcPr>
          <w:p w:rsidR="00DA4AA4" w:rsidRPr="00DA4AA4" w:rsidRDefault="00DA4AA4" w:rsidP="0095573D">
            <w:pPr>
              <w:widowControl/>
              <w:wordWrap w:val="0"/>
              <w:spacing w:before="100" w:beforeAutospacing="1" w:after="100" w:afterAutospacing="1"/>
              <w:jc w:val="center"/>
              <w:rPr>
                <w:rFonts w:ascii="楷体" w:eastAsia="楷体" w:hAnsi="楷体" w:cs="宋体" w:hint="eastAsia"/>
                <w:kern w:val="0"/>
                <w:sz w:val="24"/>
                <w:szCs w:val="24"/>
              </w:rPr>
            </w:pPr>
            <w:bookmarkStart w:id="0" w:name="_GoBack"/>
            <w:r w:rsidRPr="00DA4AA4">
              <w:rPr>
                <w:rFonts w:ascii="楷体" w:eastAsia="楷体" w:hAnsi="楷体" w:cs="宋体" w:hint="eastAsia"/>
                <w:b/>
                <w:bCs/>
                <w:kern w:val="0"/>
                <w:sz w:val="24"/>
                <w:szCs w:val="24"/>
              </w:rPr>
              <w:t>广东省人民政府办公厅关于加大力度</w:t>
            </w:r>
          </w:p>
          <w:p w:rsidR="00DA4AA4" w:rsidRPr="00DA4AA4" w:rsidRDefault="00DA4AA4" w:rsidP="0095573D">
            <w:pPr>
              <w:widowControl/>
              <w:wordWrap w:val="0"/>
              <w:spacing w:before="100" w:beforeAutospacing="1" w:after="100" w:afterAutospacing="1"/>
              <w:jc w:val="center"/>
              <w:rPr>
                <w:rFonts w:ascii="楷体" w:eastAsia="楷体" w:hAnsi="楷体" w:cs="宋体" w:hint="eastAsia"/>
                <w:kern w:val="0"/>
                <w:sz w:val="24"/>
                <w:szCs w:val="24"/>
              </w:rPr>
            </w:pPr>
            <w:r w:rsidRPr="00DA4AA4">
              <w:rPr>
                <w:rFonts w:ascii="楷体" w:eastAsia="楷体" w:hAnsi="楷体" w:cs="宋体" w:hint="eastAsia"/>
                <w:b/>
                <w:bCs/>
                <w:kern w:val="0"/>
                <w:sz w:val="24"/>
                <w:szCs w:val="24"/>
              </w:rPr>
              <w:t>资助我省少数民族聚居区少数民族</w:t>
            </w:r>
          </w:p>
          <w:p w:rsidR="00DA4AA4" w:rsidRPr="00DA4AA4" w:rsidRDefault="00DA4AA4" w:rsidP="0095573D">
            <w:pPr>
              <w:widowControl/>
              <w:wordWrap w:val="0"/>
              <w:spacing w:before="100" w:beforeAutospacing="1" w:after="100" w:afterAutospacing="1"/>
              <w:jc w:val="center"/>
              <w:rPr>
                <w:rFonts w:ascii="楷体" w:eastAsia="楷体" w:hAnsi="楷体" w:cs="宋体" w:hint="eastAsia"/>
                <w:kern w:val="0"/>
                <w:sz w:val="24"/>
                <w:szCs w:val="24"/>
              </w:rPr>
            </w:pPr>
            <w:r w:rsidRPr="00DA4AA4">
              <w:rPr>
                <w:rFonts w:ascii="楷体" w:eastAsia="楷体" w:hAnsi="楷体" w:cs="宋体" w:hint="eastAsia"/>
                <w:b/>
                <w:bCs/>
                <w:kern w:val="0"/>
                <w:sz w:val="24"/>
                <w:szCs w:val="24"/>
              </w:rPr>
              <w:t>大学生上大学的通知</w:t>
            </w:r>
            <w:bookmarkEnd w:id="0"/>
            <w:r w:rsidRPr="00DA4AA4">
              <w:rPr>
                <w:rFonts w:ascii="楷体" w:eastAsia="楷体" w:hAnsi="楷体" w:cs="宋体" w:hint="eastAsia"/>
                <w:kern w:val="0"/>
                <w:sz w:val="24"/>
                <w:szCs w:val="24"/>
              </w:rPr>
              <w:t xml:space="preserve"> </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br/>
              <w:t>各地级以上市人民政府，各县（市、区）人民政府，省政府各部门、各直属机构：</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为进一步完善我省大学生助学政策体系，帮助少数民族聚居区少数民族大学生（以下简称少数民族大学生）顺利完成大学学业，加快促进少数民族聚居区脱贫奔康，省人民政府决定，加大力度资助我省少数民族大学生上大学。现将有关事项通知如下：</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w:t>
            </w:r>
            <w:r w:rsidRPr="00DA4AA4">
              <w:rPr>
                <w:rFonts w:ascii="楷体" w:eastAsia="楷体" w:hAnsi="楷体" w:cs="宋体" w:hint="eastAsia"/>
                <w:b/>
                <w:bCs/>
                <w:kern w:val="0"/>
                <w:sz w:val="24"/>
                <w:szCs w:val="24"/>
              </w:rPr>
              <w:t>一、充分认识做好少数民族大学生资助工作的重要性</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我省少数民族聚居区主要分布在边远和贫困的山区，经济社会发展远远落后于全省平均水平，特别是教育事业发展较为滞后，当地少数民族大学生在入学、升学等方面比其他地区学生面临着更多的困难，更需要得到党和政府的帮扶。通过扶持少数民族大学生顺利完成学业，可以实现就业一人、脱贫一户，较好地实现扶贫脱困的目标。加大力度对少数民族大学生进行资助，是提高少数民族群众文化科技水平、培育少数民族中高层次人才、加快实现少数民族贫困家庭脱贫奔康的需要。各有关地区和部门要将思想认识统一到省委、省政府的工作部署上来，采取切实有效措施，落实相关资助政策，确保每一名少数民族大学生顺利完成学业，避免出现少数民族大学生因贫辍学现象。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二、加大对少数民族大学生的资助力度</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根据我省实际情况，省财政安排专项资金，从2013年秋季学期起，对少数民族聚居区新考上大学的本专科学生在本专科就读期间给予学费、住宿费和生活费资助，保障少数民族大学生顺利完成学业。少数民族大学生接受本项省财政资助后，原则上不重复享受省财政设立的同类专项资助。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（一）资助范围：</w:t>
            </w:r>
            <w:r w:rsidRPr="00DA4AA4">
              <w:rPr>
                <w:rFonts w:ascii="楷体" w:eastAsia="楷体" w:hAnsi="楷体" w:cs="宋体" w:hint="eastAsia"/>
                <w:kern w:val="0"/>
                <w:sz w:val="24"/>
                <w:szCs w:val="24"/>
              </w:rPr>
              <w:t>户籍在清远市连南瑶族自治县、连山壮族瑶族自治县，韶关市乳源瑶族自治县，清远市连州</w:t>
            </w:r>
            <w:proofErr w:type="gramStart"/>
            <w:r w:rsidRPr="00DA4AA4">
              <w:rPr>
                <w:rFonts w:ascii="楷体" w:eastAsia="楷体" w:hAnsi="楷体" w:cs="宋体" w:hint="eastAsia"/>
                <w:kern w:val="0"/>
                <w:sz w:val="24"/>
                <w:szCs w:val="24"/>
              </w:rPr>
              <w:t>市瑶安</w:t>
            </w:r>
            <w:proofErr w:type="gramEnd"/>
            <w:r w:rsidRPr="00DA4AA4">
              <w:rPr>
                <w:rFonts w:ascii="楷体" w:eastAsia="楷体" w:hAnsi="楷体" w:cs="宋体" w:hint="eastAsia"/>
                <w:kern w:val="0"/>
                <w:sz w:val="24"/>
                <w:szCs w:val="24"/>
              </w:rPr>
              <w:t>瑶族乡、三水瑶族乡，清远市</w:t>
            </w:r>
            <w:proofErr w:type="gramStart"/>
            <w:r w:rsidRPr="00DA4AA4">
              <w:rPr>
                <w:rFonts w:ascii="楷体" w:eastAsia="楷体" w:hAnsi="楷体" w:cs="宋体" w:hint="eastAsia"/>
                <w:kern w:val="0"/>
                <w:sz w:val="24"/>
                <w:szCs w:val="24"/>
              </w:rPr>
              <w:t>阳山县秤架</w:t>
            </w:r>
            <w:proofErr w:type="gramEnd"/>
            <w:r w:rsidRPr="00DA4AA4">
              <w:rPr>
                <w:rFonts w:ascii="楷体" w:eastAsia="楷体" w:hAnsi="楷体" w:cs="宋体" w:hint="eastAsia"/>
                <w:kern w:val="0"/>
                <w:sz w:val="24"/>
                <w:szCs w:val="24"/>
              </w:rPr>
              <w:t>瑶族乡，韶关市始兴县深渡水瑶族乡，肇庆市怀集县下帅壮族瑶族乡，惠州市龙门县蓝田瑶族乡，河源市东源县</w:t>
            </w:r>
            <w:proofErr w:type="gramStart"/>
            <w:r w:rsidRPr="00DA4AA4">
              <w:rPr>
                <w:rFonts w:ascii="楷体" w:eastAsia="楷体" w:hAnsi="楷体" w:cs="宋体" w:hint="eastAsia"/>
                <w:kern w:val="0"/>
                <w:sz w:val="24"/>
                <w:szCs w:val="24"/>
              </w:rPr>
              <w:t>漳</w:t>
            </w:r>
            <w:proofErr w:type="gramEnd"/>
            <w:r w:rsidRPr="00DA4AA4">
              <w:rPr>
                <w:rFonts w:ascii="楷体" w:eastAsia="楷体" w:hAnsi="楷体" w:cs="宋体" w:hint="eastAsia"/>
                <w:kern w:val="0"/>
                <w:sz w:val="24"/>
                <w:szCs w:val="24"/>
              </w:rPr>
              <w:t>溪畲族乡，以及分布在省内36个县（市、区）的390个少数民族聚居村（包括自然村，具体名单见附件），</w:t>
            </w:r>
            <w:proofErr w:type="gramStart"/>
            <w:r w:rsidRPr="00DA4AA4">
              <w:rPr>
                <w:rFonts w:ascii="楷体" w:eastAsia="楷体" w:hAnsi="楷体" w:cs="宋体" w:hint="eastAsia"/>
                <w:kern w:val="0"/>
                <w:sz w:val="24"/>
                <w:szCs w:val="24"/>
              </w:rPr>
              <w:t>且小学</w:t>
            </w:r>
            <w:proofErr w:type="gramEnd"/>
            <w:r w:rsidRPr="00DA4AA4">
              <w:rPr>
                <w:rFonts w:ascii="楷体" w:eastAsia="楷体" w:hAnsi="楷体" w:cs="宋体" w:hint="eastAsia"/>
                <w:kern w:val="0"/>
                <w:sz w:val="24"/>
                <w:szCs w:val="24"/>
              </w:rPr>
              <w:t xml:space="preserve">和初中均在少数民族聚居区中小学就读的新考上全日制本专科院校（含省外学校）的少数民族大学生。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（二）资助标准和时间：</w:t>
            </w:r>
            <w:r w:rsidRPr="00DA4AA4">
              <w:rPr>
                <w:rFonts w:ascii="楷体" w:eastAsia="楷体" w:hAnsi="楷体" w:cs="宋体" w:hint="eastAsia"/>
                <w:kern w:val="0"/>
                <w:sz w:val="24"/>
                <w:szCs w:val="24"/>
              </w:rPr>
              <w:t xml:space="preserve">根据我省现行的公办高校学费、住宿费等收费标准，每位学生每学年资助10000元，资助时间为本专科就读期间。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（三）资金发放：</w:t>
            </w:r>
            <w:r w:rsidRPr="00DA4AA4">
              <w:rPr>
                <w:rFonts w:ascii="楷体" w:eastAsia="楷体" w:hAnsi="楷体" w:cs="宋体" w:hint="eastAsia"/>
                <w:kern w:val="0"/>
                <w:sz w:val="24"/>
                <w:szCs w:val="24"/>
              </w:rPr>
              <w:t>少数民族大学生持本人身份证、户口本及学生注册证明等</w:t>
            </w:r>
            <w:r w:rsidRPr="00DA4AA4">
              <w:rPr>
                <w:rFonts w:ascii="楷体" w:eastAsia="楷体" w:hAnsi="楷体" w:cs="宋体" w:hint="eastAsia"/>
                <w:kern w:val="0"/>
                <w:sz w:val="24"/>
                <w:szCs w:val="24"/>
              </w:rPr>
              <w:lastRenderedPageBreak/>
              <w:t>资料，到所属县（市、区）民族工作部门进行身份认定，经审核符合资助条件的，由县级民族工作部门将资助资金发放给学生本人。县级民族工作部门要将资助大学生名单登记造册，并于每年12月底前汇总报省民族</w:t>
            </w:r>
            <w:proofErr w:type="gramStart"/>
            <w:r w:rsidRPr="00DA4AA4">
              <w:rPr>
                <w:rFonts w:ascii="楷体" w:eastAsia="楷体" w:hAnsi="楷体" w:cs="宋体" w:hint="eastAsia"/>
                <w:kern w:val="0"/>
                <w:sz w:val="24"/>
                <w:szCs w:val="24"/>
              </w:rPr>
              <w:t>宗教委</w:t>
            </w:r>
            <w:proofErr w:type="gramEnd"/>
            <w:r w:rsidRPr="00DA4AA4">
              <w:rPr>
                <w:rFonts w:ascii="楷体" w:eastAsia="楷体" w:hAnsi="楷体" w:cs="宋体" w:hint="eastAsia"/>
                <w:kern w:val="0"/>
                <w:sz w:val="24"/>
                <w:szCs w:val="24"/>
              </w:rPr>
              <w:t>备案，省民族</w:t>
            </w:r>
            <w:proofErr w:type="gramStart"/>
            <w:r w:rsidRPr="00DA4AA4">
              <w:rPr>
                <w:rFonts w:ascii="楷体" w:eastAsia="楷体" w:hAnsi="楷体" w:cs="宋体" w:hint="eastAsia"/>
                <w:kern w:val="0"/>
                <w:sz w:val="24"/>
                <w:szCs w:val="24"/>
              </w:rPr>
              <w:t>宗教委</w:t>
            </w:r>
            <w:proofErr w:type="gramEnd"/>
            <w:r w:rsidRPr="00DA4AA4">
              <w:rPr>
                <w:rFonts w:ascii="楷体" w:eastAsia="楷体" w:hAnsi="楷体" w:cs="宋体" w:hint="eastAsia"/>
                <w:kern w:val="0"/>
                <w:sz w:val="24"/>
                <w:szCs w:val="24"/>
              </w:rPr>
              <w:t xml:space="preserve">将名单汇总后及时函告省教育厅、财政厅。有关资助资金，由省财政厅直接下拨到有关县级财政部门，由县级财政部门拨给县级民族工作部门。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三、明确工作责任和分工</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各有关地区和部门要高度重视少数民族大学生资助工作，认真负责，密切配合，确保资助工作顺利实施。省财政部门要认真做好资金测算，提前做好资金安排，切实加强资金保障；市、县财政部门要确保资金及时足额拨付到位。各级教育部门要做好政策宣传解释，确保受资助学生了解政策内容，并协助配合做好学生身份认定工作。各级民族工作部门要全力做好少数民族学生的身份认定和资金发放，确保身份认定和资金发放准确、高效。各高校要认真按照国家和省相关规定认真落实少数民族大学生入学“绿色通道”制度，对因家庭经济困难确实无法缴纳学费的少数民族大学生，一律采取先办理入学手续再补交学费的办法，确保少数民族大学生如期顺利入学。 </w:t>
            </w:r>
            <w:r w:rsidRPr="00DA4AA4">
              <w:rPr>
                <w:rFonts w:ascii="楷体" w:eastAsia="楷体" w:hAnsi="楷体" w:cs="宋体" w:hint="eastAsia"/>
                <w:kern w:val="0"/>
                <w:sz w:val="24"/>
                <w:szCs w:val="24"/>
              </w:rPr>
              <w:br/>
              <w:t xml:space="preserve">　</w:t>
            </w:r>
            <w:r w:rsidRPr="00DA4AA4">
              <w:rPr>
                <w:rFonts w:ascii="楷体" w:eastAsia="楷体" w:hAnsi="楷体" w:cs="宋体" w:hint="eastAsia"/>
                <w:b/>
                <w:bCs/>
                <w:kern w:val="0"/>
                <w:sz w:val="24"/>
                <w:szCs w:val="24"/>
              </w:rPr>
              <w:t xml:space="preserve">　四、切实加强监督管理</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b/>
                <w:bCs/>
                <w:kern w:val="0"/>
                <w:sz w:val="24"/>
                <w:szCs w:val="24"/>
              </w:rPr>
              <w:t xml:space="preserve">　　</w:t>
            </w:r>
            <w:r w:rsidRPr="00DA4AA4">
              <w:rPr>
                <w:rFonts w:ascii="楷体" w:eastAsia="楷体" w:hAnsi="楷体" w:cs="宋体" w:hint="eastAsia"/>
                <w:kern w:val="0"/>
                <w:sz w:val="24"/>
                <w:szCs w:val="24"/>
              </w:rPr>
              <w:t xml:space="preserve">各地、各有关部门要按照政策要求，加强对少数民族大学生资助工作的监督管理，认真审核，规范操作，对受资助的学生名单要在当地公布，接受社会和公众的监督，确保资助工作公开透明，确保资助资金专款专用、及时发放。对弄虚作假骗取资助资金的，要如数追回、公开曝光并依法依规进行处理。对违反规定的单位和个人，一经发现，坚决严肃查处。省将定期组织有关部门对资助工作进行监督检查，对专项资金使用情况进行通报。 </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br/>
              <w:t xml:space="preserve">　　附件：广东省少数民族聚居区一览表</w:t>
            </w:r>
          </w:p>
          <w:p w:rsidR="00DA4AA4" w:rsidRPr="00DA4AA4" w:rsidRDefault="00DA4AA4" w:rsidP="00DA4AA4">
            <w:pPr>
              <w:widowControl/>
              <w:wordWrap w:val="0"/>
              <w:spacing w:before="100" w:beforeAutospacing="1" w:after="100" w:afterAutospacing="1"/>
              <w:jc w:val="left"/>
              <w:rPr>
                <w:rFonts w:ascii="楷体" w:eastAsia="楷体" w:hAnsi="楷体" w:cs="宋体" w:hint="eastAsia"/>
                <w:kern w:val="0"/>
                <w:sz w:val="24"/>
                <w:szCs w:val="24"/>
              </w:rPr>
            </w:pPr>
            <w:r w:rsidRPr="00DA4AA4">
              <w:rPr>
                <w:rFonts w:ascii="楷体" w:eastAsia="楷体" w:hAnsi="楷体" w:cs="宋体" w:hint="eastAsia"/>
                <w:kern w:val="0"/>
                <w:sz w:val="24"/>
                <w:szCs w:val="24"/>
              </w:rPr>
              <w:t xml:space="preserve">　　　　　　　　　　　　　　　　　　　　　　　　广东省人民政府办公厅</w:t>
            </w:r>
          </w:p>
          <w:p w:rsidR="00DA4AA4" w:rsidRPr="00DA4AA4" w:rsidRDefault="00DA4AA4" w:rsidP="00DA4AA4">
            <w:pPr>
              <w:widowControl/>
              <w:wordWrap w:val="0"/>
              <w:spacing w:before="100" w:beforeAutospacing="1" w:after="100" w:afterAutospacing="1"/>
              <w:jc w:val="left"/>
              <w:rPr>
                <w:rFonts w:ascii="楷体" w:eastAsia="楷体" w:hAnsi="楷体" w:cs="宋体"/>
                <w:kern w:val="0"/>
                <w:sz w:val="24"/>
                <w:szCs w:val="24"/>
              </w:rPr>
            </w:pPr>
            <w:r w:rsidRPr="00DA4AA4">
              <w:rPr>
                <w:rFonts w:ascii="楷体" w:eastAsia="楷体" w:hAnsi="楷体" w:cs="宋体" w:hint="eastAsia"/>
                <w:kern w:val="0"/>
                <w:sz w:val="24"/>
                <w:szCs w:val="24"/>
              </w:rPr>
              <w:t xml:space="preserve">　　　　　　　　　　　　　　　　　　　　　　　　　　2013年4月28日</w:t>
            </w:r>
          </w:p>
        </w:tc>
      </w:tr>
    </w:tbl>
    <w:p w:rsidR="007C2AE8" w:rsidRDefault="007C2AE8"/>
    <w:sectPr w:rsidR="007C2AE8" w:rsidSect="0095573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6C" w:rsidRDefault="0089516C" w:rsidP="00DA4AA4">
      <w:r>
        <w:separator/>
      </w:r>
    </w:p>
  </w:endnote>
  <w:endnote w:type="continuationSeparator" w:id="0">
    <w:p w:rsidR="0089516C" w:rsidRDefault="0089516C" w:rsidP="00DA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6C" w:rsidRDefault="0089516C" w:rsidP="00DA4AA4">
      <w:r>
        <w:separator/>
      </w:r>
    </w:p>
  </w:footnote>
  <w:footnote w:type="continuationSeparator" w:id="0">
    <w:p w:rsidR="0089516C" w:rsidRDefault="0089516C" w:rsidP="00DA4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37"/>
    <w:rsid w:val="002D1C37"/>
    <w:rsid w:val="007C2AE8"/>
    <w:rsid w:val="0089516C"/>
    <w:rsid w:val="0095573D"/>
    <w:rsid w:val="00DA4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A4AA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AA4"/>
    <w:rPr>
      <w:sz w:val="18"/>
      <w:szCs w:val="18"/>
    </w:rPr>
  </w:style>
  <w:style w:type="paragraph" w:styleId="a4">
    <w:name w:val="footer"/>
    <w:basedOn w:val="a"/>
    <w:link w:val="Char0"/>
    <w:uiPriority w:val="99"/>
    <w:unhideWhenUsed/>
    <w:rsid w:val="00DA4AA4"/>
    <w:pPr>
      <w:tabs>
        <w:tab w:val="center" w:pos="4153"/>
        <w:tab w:val="right" w:pos="8306"/>
      </w:tabs>
      <w:snapToGrid w:val="0"/>
      <w:jc w:val="left"/>
    </w:pPr>
    <w:rPr>
      <w:sz w:val="18"/>
      <w:szCs w:val="18"/>
    </w:rPr>
  </w:style>
  <w:style w:type="character" w:customStyle="1" w:styleId="Char0">
    <w:name w:val="页脚 Char"/>
    <w:basedOn w:val="a0"/>
    <w:link w:val="a4"/>
    <w:uiPriority w:val="99"/>
    <w:rsid w:val="00DA4AA4"/>
    <w:rPr>
      <w:sz w:val="18"/>
      <w:szCs w:val="18"/>
    </w:rPr>
  </w:style>
  <w:style w:type="character" w:customStyle="1" w:styleId="3Char">
    <w:name w:val="标题 3 Char"/>
    <w:basedOn w:val="a0"/>
    <w:link w:val="3"/>
    <w:uiPriority w:val="9"/>
    <w:rsid w:val="00DA4AA4"/>
    <w:rPr>
      <w:rFonts w:ascii="宋体" w:eastAsia="宋体" w:hAnsi="宋体" w:cs="宋体"/>
      <w:b/>
      <w:bCs/>
      <w:kern w:val="0"/>
      <w:sz w:val="27"/>
      <w:szCs w:val="27"/>
    </w:rPr>
  </w:style>
  <w:style w:type="character" w:styleId="a5">
    <w:name w:val="Strong"/>
    <w:basedOn w:val="a0"/>
    <w:uiPriority w:val="22"/>
    <w:qFormat/>
    <w:rsid w:val="00DA4AA4"/>
    <w:rPr>
      <w:b/>
      <w:bCs/>
    </w:rPr>
  </w:style>
  <w:style w:type="paragraph" w:styleId="a6">
    <w:name w:val="Balloon Text"/>
    <w:basedOn w:val="a"/>
    <w:link w:val="Char1"/>
    <w:uiPriority w:val="99"/>
    <w:semiHidden/>
    <w:unhideWhenUsed/>
    <w:rsid w:val="00DA4AA4"/>
    <w:rPr>
      <w:sz w:val="18"/>
      <w:szCs w:val="18"/>
    </w:rPr>
  </w:style>
  <w:style w:type="character" w:customStyle="1" w:styleId="Char1">
    <w:name w:val="批注框文本 Char"/>
    <w:basedOn w:val="a0"/>
    <w:link w:val="a6"/>
    <w:uiPriority w:val="99"/>
    <w:semiHidden/>
    <w:rsid w:val="00DA4A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A4AA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4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4AA4"/>
    <w:rPr>
      <w:sz w:val="18"/>
      <w:szCs w:val="18"/>
    </w:rPr>
  </w:style>
  <w:style w:type="paragraph" w:styleId="a4">
    <w:name w:val="footer"/>
    <w:basedOn w:val="a"/>
    <w:link w:val="Char0"/>
    <w:uiPriority w:val="99"/>
    <w:unhideWhenUsed/>
    <w:rsid w:val="00DA4AA4"/>
    <w:pPr>
      <w:tabs>
        <w:tab w:val="center" w:pos="4153"/>
        <w:tab w:val="right" w:pos="8306"/>
      </w:tabs>
      <w:snapToGrid w:val="0"/>
      <w:jc w:val="left"/>
    </w:pPr>
    <w:rPr>
      <w:sz w:val="18"/>
      <w:szCs w:val="18"/>
    </w:rPr>
  </w:style>
  <w:style w:type="character" w:customStyle="1" w:styleId="Char0">
    <w:name w:val="页脚 Char"/>
    <w:basedOn w:val="a0"/>
    <w:link w:val="a4"/>
    <w:uiPriority w:val="99"/>
    <w:rsid w:val="00DA4AA4"/>
    <w:rPr>
      <w:sz w:val="18"/>
      <w:szCs w:val="18"/>
    </w:rPr>
  </w:style>
  <w:style w:type="character" w:customStyle="1" w:styleId="3Char">
    <w:name w:val="标题 3 Char"/>
    <w:basedOn w:val="a0"/>
    <w:link w:val="3"/>
    <w:uiPriority w:val="9"/>
    <w:rsid w:val="00DA4AA4"/>
    <w:rPr>
      <w:rFonts w:ascii="宋体" w:eastAsia="宋体" w:hAnsi="宋体" w:cs="宋体"/>
      <w:b/>
      <w:bCs/>
      <w:kern w:val="0"/>
      <w:sz w:val="27"/>
      <w:szCs w:val="27"/>
    </w:rPr>
  </w:style>
  <w:style w:type="character" w:styleId="a5">
    <w:name w:val="Strong"/>
    <w:basedOn w:val="a0"/>
    <w:uiPriority w:val="22"/>
    <w:qFormat/>
    <w:rsid w:val="00DA4AA4"/>
    <w:rPr>
      <w:b/>
      <w:bCs/>
    </w:rPr>
  </w:style>
  <w:style w:type="paragraph" w:styleId="a6">
    <w:name w:val="Balloon Text"/>
    <w:basedOn w:val="a"/>
    <w:link w:val="Char1"/>
    <w:uiPriority w:val="99"/>
    <w:semiHidden/>
    <w:unhideWhenUsed/>
    <w:rsid w:val="00DA4AA4"/>
    <w:rPr>
      <w:sz w:val="18"/>
      <w:szCs w:val="18"/>
    </w:rPr>
  </w:style>
  <w:style w:type="character" w:customStyle="1" w:styleId="Char1">
    <w:name w:val="批注框文本 Char"/>
    <w:basedOn w:val="a0"/>
    <w:link w:val="a6"/>
    <w:uiPriority w:val="99"/>
    <w:semiHidden/>
    <w:rsid w:val="00DA4A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4075">
      <w:bodyDiv w:val="1"/>
      <w:marLeft w:val="0"/>
      <w:marRight w:val="0"/>
      <w:marTop w:val="0"/>
      <w:marBottom w:val="0"/>
      <w:divBdr>
        <w:top w:val="none" w:sz="0" w:space="0" w:color="auto"/>
        <w:left w:val="none" w:sz="0" w:space="0" w:color="auto"/>
        <w:bottom w:val="none" w:sz="0" w:space="0" w:color="auto"/>
        <w:right w:val="none" w:sz="0" w:space="0" w:color="auto"/>
      </w:divBdr>
      <w:divsChild>
        <w:div w:id="1584102503">
          <w:marLeft w:val="0"/>
          <w:marRight w:val="0"/>
          <w:marTop w:val="0"/>
          <w:marBottom w:val="0"/>
          <w:divBdr>
            <w:top w:val="none" w:sz="0" w:space="0" w:color="auto"/>
            <w:left w:val="none" w:sz="0" w:space="0" w:color="auto"/>
            <w:bottom w:val="none" w:sz="0" w:space="0" w:color="auto"/>
            <w:right w:val="none" w:sz="0" w:space="0" w:color="auto"/>
          </w:divBdr>
          <w:divsChild>
            <w:div w:id="433676731">
              <w:marLeft w:val="0"/>
              <w:marRight w:val="0"/>
              <w:marTop w:val="0"/>
              <w:marBottom w:val="0"/>
              <w:divBdr>
                <w:top w:val="none" w:sz="0" w:space="0" w:color="auto"/>
                <w:left w:val="none" w:sz="0" w:space="0" w:color="auto"/>
                <w:bottom w:val="none" w:sz="0" w:space="0" w:color="auto"/>
                <w:right w:val="none" w:sz="0" w:space="0" w:color="auto"/>
              </w:divBdr>
              <w:divsChild>
                <w:div w:id="319314150">
                  <w:marLeft w:val="0"/>
                  <w:marRight w:val="0"/>
                  <w:marTop w:val="0"/>
                  <w:marBottom w:val="0"/>
                  <w:divBdr>
                    <w:top w:val="none" w:sz="0" w:space="0" w:color="auto"/>
                    <w:left w:val="none" w:sz="0" w:space="0" w:color="auto"/>
                    <w:bottom w:val="none" w:sz="0" w:space="0" w:color="auto"/>
                    <w:right w:val="none" w:sz="0" w:space="0" w:color="auto"/>
                  </w:divBdr>
                  <w:divsChild>
                    <w:div w:id="13393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Sky123.Org</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2015-01-12T09:18:00Z</dcterms:created>
  <dcterms:modified xsi:type="dcterms:W3CDTF">2015-01-12T09:19:00Z</dcterms:modified>
</cp:coreProperties>
</file>